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B858" w14:textId="6507E4CE" w:rsidR="00672E53" w:rsidRPr="00672E53" w:rsidRDefault="00672E53" w:rsidP="0067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</w:pPr>
      <w:r w:rsidRPr="00672E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ХАРЧУВАННЯ</w:t>
      </w:r>
    </w:p>
    <w:p w14:paraId="19D3B007" w14:textId="3219557A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  <w:r w:rsidRPr="00672E53">
        <w:rPr>
          <w:rFonts w:ascii="Times New Roman" w:eastAsia="Times New Roman" w:hAnsi="Times New Roman" w:cs="Times New Roman"/>
          <w:noProof/>
          <w:sz w:val="24"/>
          <w:szCs w:val="24"/>
          <w:lang w:val="ru-UA" w:eastAsia="ru-UA"/>
        </w:rPr>
        <w:drawing>
          <wp:anchor distT="0" distB="0" distL="114300" distR="114300" simplePos="0" relativeHeight="251658240" behindDoc="1" locked="0" layoutInCell="1" allowOverlap="1" wp14:anchorId="2B92FCC6" wp14:editId="7CBC0E93">
            <wp:simplePos x="0" y="0"/>
            <wp:positionH relativeFrom="page">
              <wp:posOffset>1037590</wp:posOffset>
            </wp:positionH>
            <wp:positionV relativeFrom="paragraph">
              <wp:posOffset>122555</wp:posOffset>
            </wp:positionV>
            <wp:extent cx="5760455" cy="3236020"/>
            <wp:effectExtent l="0" t="0" r="0" b="2540"/>
            <wp:wrapNone/>
            <wp:docPr id="2" name="Рисунок 2" descr="Овочі, риба та яг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чі, риба та яго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55" cy="32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9434C" w14:textId="0FE728EA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2F0B30DC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499503F2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4E09B053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7392369C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58132054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5ED5EDA7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5262E742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5EE034E8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6E93E316" w14:textId="77777777" w:rsidR="00672E53" w:rsidRDefault="00672E53" w:rsidP="00672E53">
      <w:pPr>
        <w:spacing w:after="120" w:line="360" w:lineRule="atLeast"/>
        <w:rPr>
          <w:rFonts w:ascii="Microtype" w:eastAsia="Times New Roman" w:hAnsi="Microtype" w:cs="Times New Roman"/>
          <w:sz w:val="24"/>
          <w:szCs w:val="24"/>
          <w:lang w:val="ru-UA" w:eastAsia="ru-UA"/>
        </w:rPr>
      </w:pPr>
    </w:p>
    <w:p w14:paraId="2742830D" w14:textId="77777777" w:rsidR="00672E53" w:rsidRDefault="00672E53" w:rsidP="00672E53">
      <w:pPr>
        <w:spacing w:after="120" w:line="360" w:lineRule="atLeast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</w:p>
    <w:p w14:paraId="2DAFDB43" w14:textId="605490C3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дитсадку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школі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закладах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освіти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вчитися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розуміти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означає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здоровим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потрібно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робити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Зокрема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ідеться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правильні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харчові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звички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Щоб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знайомилися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цими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звичками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засвоювали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освітяни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батьки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спільно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Саме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заклад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освіти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є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майданчиком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який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об'єднує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всіх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учасників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освітнього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спонукати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здорового способу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керівництво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закладу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підтримує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принципи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дбає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право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дітей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здорову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їжу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звикатимуть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харчуватися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правильно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мотивуватимуть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батьків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4E7B57C1" w14:textId="77777777" w:rsidR="00672E53" w:rsidRPr="00672E53" w:rsidRDefault="00672E53" w:rsidP="00672E53">
      <w:pPr>
        <w:spacing w:before="36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</w:pPr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ОСВІТА</w:t>
      </w:r>
    </w:p>
    <w:p w14:paraId="6CE26CB7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здорового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безпечного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компетентності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першу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чергу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формуються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навчальних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занять.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Існують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державні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стандарти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загальної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середньої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освіти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передбачають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освіти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соціальну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й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здоров’язбережувальну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галузь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 </w:t>
      </w:r>
    </w:p>
    <w:p w14:paraId="45718E02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Саме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уроках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можна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говорити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здорове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— як у межах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окремих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предметів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так 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інтегрованих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курсів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До того ж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учнів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можна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заохочувати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створення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власних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проєктів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зокрема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теми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3061C15D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Щоб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зацікавити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учнів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темою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учителям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варто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оновлювати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begin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instrText xml:space="preserve"> HYPERLINK "https://znaimo.gov.ua/chapters/managers-and-educators/new-school-food/shcho-varto-znaty" </w:instrText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separate"/>
      </w:r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свої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знання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end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застосовувати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різноманітні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технології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методики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підходи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навчання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3143D012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Крім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того,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доречно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буде 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begin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instrText xml:space="preserve"> HYPERLINK "https://znaimo.gov.ua/shkilnyy-obid-na-naukoviy-tatsi" </w:instrText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separate"/>
      </w:r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попрацювати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 xml:space="preserve"> над темою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end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і в рамках </w:t>
      </w:r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конкурсу-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захисту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наукових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робіт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Малої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академії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наук</w:t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119220BA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</w:p>
    <w:p w14:paraId="1871DDD3" w14:textId="77777777" w:rsidR="00672E53" w:rsidRDefault="00672E53" w:rsidP="00672E53">
      <w:pPr>
        <w:spacing w:before="36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</w:pPr>
    </w:p>
    <w:p w14:paraId="34CFBCAD" w14:textId="77777777" w:rsidR="00672E53" w:rsidRDefault="00672E53" w:rsidP="00672E53">
      <w:pPr>
        <w:spacing w:before="36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</w:pPr>
    </w:p>
    <w:p w14:paraId="50F54DB7" w14:textId="77777777" w:rsidR="00672E53" w:rsidRDefault="00672E53" w:rsidP="00672E53">
      <w:pPr>
        <w:spacing w:before="36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</w:pPr>
    </w:p>
    <w:p w14:paraId="2DFE3F69" w14:textId="20860833" w:rsidR="00672E53" w:rsidRPr="00672E53" w:rsidRDefault="00672E53" w:rsidP="00672E53">
      <w:pPr>
        <w:spacing w:before="36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</w:pPr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>ВИХОВАННЯ</w:t>
      </w:r>
    </w:p>
    <w:p w14:paraId="0DD36FB2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hyperlink r:id="rId5" w:history="1">
        <w:proofErr w:type="spellStart"/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>Знайомити</w:t>
        </w:r>
        <w:proofErr w:type="spellEnd"/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 xml:space="preserve"> </w:t>
        </w:r>
        <w:proofErr w:type="spellStart"/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>дітей</w:t>
        </w:r>
        <w:proofErr w:type="spellEnd"/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 xml:space="preserve"> з темою здорового </w:t>
        </w:r>
        <w:proofErr w:type="spellStart"/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>харчування</w:t>
        </w:r>
        <w:proofErr w:type="spellEnd"/>
      </w:hyperlink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можна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й </w:t>
      </w:r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на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позакласних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заходах</w:t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На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цю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тему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доцільно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організовувати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шкільні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свята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заходи, 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заохочувати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учнів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медіатворчості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Наприклад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учням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випускають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шкільні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газети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можна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пропонувати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зробити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тематичні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рубрики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випуски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культуру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 </w:t>
      </w:r>
    </w:p>
    <w:p w14:paraId="0370BD42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час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вивчення</w:t>
      </w:r>
      <w:proofErr w:type="spellEnd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мов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та основ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здоров'я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варто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запропонувати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дітям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створити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публікації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постери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блоги,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подкасти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відеосюжети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будь-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твори. Так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школярі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дізнаватимуться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здорове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  </w:t>
      </w:r>
      <w:hyperlink r:id="rId6" w:history="1"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 xml:space="preserve">в </w:t>
        </w:r>
        <w:proofErr w:type="spellStart"/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>цікавих</w:t>
        </w:r>
        <w:proofErr w:type="spellEnd"/>
        <w:r w:rsidRPr="00672E53">
          <w:rPr>
            <w:rFonts w:ascii="Times New Roman" w:eastAsia="Times New Roman" w:hAnsi="Times New Roman" w:cs="Times New Roman"/>
            <w:sz w:val="28"/>
            <w:szCs w:val="28"/>
            <w:u w:val="single"/>
            <w:lang w:val="ru-UA" w:eastAsia="ru-UA"/>
          </w:rPr>
          <w:t xml:space="preserve"> форматах</w:t>
        </w:r>
      </w:hyperlink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водночас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вчитимуться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розвиватимуть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медіаграмотність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17194C4B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</w:p>
    <w:p w14:paraId="40909F61" w14:textId="77777777" w:rsidR="00672E53" w:rsidRPr="00672E53" w:rsidRDefault="00672E53" w:rsidP="00672E53">
      <w:pPr>
        <w:spacing w:before="36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</w:pPr>
      <w:r w:rsidRPr="00672E53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МОТИВАЦІЯ ТА ПАРТНЕРСТВО</w:t>
      </w:r>
    </w:p>
    <w:p w14:paraId="073F26AE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Є низка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факторів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мотивувати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учнів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правильного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атмосфера 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школі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комфорт та чистота в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їдальні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можливість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вибрати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страви, смак 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вигляд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шкільної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їжі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достатньо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довгі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перерви.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важливо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щоб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дітям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була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доступна 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begin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instrText xml:space="preserve"> HYPERLINK "https://znaimo.gov.ua/shcho-take-tarilka-zdorovoho-kharchuvannia" </w:instrText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separate"/>
      </w:r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інформація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 xml:space="preserve"> про здоровий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раціон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загалом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end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і про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шкільне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меню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зокрема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 </w:t>
      </w:r>
    </w:p>
    <w:p w14:paraId="1CBB9DE8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Однак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ключовим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культури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дітей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приклад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дорослих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—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батьків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учителів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вихователів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Тому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освітянам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батькам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важливо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доповнювати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зусилля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одне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одних.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Щоб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їли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здорово як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удома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так і в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школі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щоб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там і там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бачили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приклади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правильної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харчової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поведінки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варто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наслідувати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64A585B3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Налагодити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партнерство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між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закладом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освіти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батьками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допоможе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Зокрема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батькам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варто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знати, яке в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школі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меню і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норми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принципи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Окрім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того, вони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брати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участь 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тематичних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заходах.</w:t>
      </w:r>
    </w:p>
    <w:p w14:paraId="3D071B9D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Гарна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ідея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запрошувати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уроки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позанавчальні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активності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громади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громадських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організацій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спеціалізуються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темах здорового способу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Завдяки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їхній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батьки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більш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прихильними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ідеї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здорового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54BB2BFA" w14:textId="77777777" w:rsidR="00672E53" w:rsidRPr="00672E53" w:rsidRDefault="00672E53" w:rsidP="00672E5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Щоб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покращити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харчування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школі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варто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залучати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представників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учнівського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самоврядування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обговорення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проблем, меню, 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begin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instrText xml:space="preserve"> HYPERLINK "https://znaimo.gov.ua/shkilnyi-bufet-shcho-mozhna-a-shcho-zaboroneno" </w:instrText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separate"/>
      </w:r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асортименту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 xml:space="preserve"> буфету.</w:t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end"/>
      </w:r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Саме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ініціювати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активно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долучатися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змін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краще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питаннях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здорової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їжі</w:t>
      </w:r>
      <w:proofErr w:type="spellEnd"/>
      <w:r w:rsidRPr="00672E53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2E93406D" w14:textId="77777777" w:rsidR="00625198" w:rsidRPr="00672E53" w:rsidRDefault="00625198" w:rsidP="00672E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UA"/>
        </w:rPr>
      </w:pPr>
    </w:p>
    <w:sectPr w:rsidR="00625198" w:rsidRPr="00672E53" w:rsidSect="00672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53"/>
    <w:rsid w:val="00625198"/>
    <w:rsid w:val="006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0519"/>
  <w15:chartTrackingRefBased/>
  <w15:docId w15:val="{C3B74B13-B226-4884-8FEF-E8D6D72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mo.gov.ua/chapters/students/learn" TargetMode="External"/><Relationship Id="rId5" Type="http://schemas.openxmlformats.org/officeDocument/2006/relationships/hyperlink" Target="https://znaimo.gov.ua/chapters/students/re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Злыдниченко</dc:creator>
  <cp:keywords/>
  <dc:description/>
  <cp:lastModifiedBy>Марина Злыдниченко</cp:lastModifiedBy>
  <cp:revision>1</cp:revision>
  <dcterms:created xsi:type="dcterms:W3CDTF">2022-01-20T18:15:00Z</dcterms:created>
  <dcterms:modified xsi:type="dcterms:W3CDTF">2022-01-20T18:18:00Z</dcterms:modified>
</cp:coreProperties>
</file>